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</w:t>
      </w:r>
    </w:p>
    <w:p>
      <w:pPr>
        <w:ind w:right="320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第一批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通报表扬的企业名单</w:t>
      </w:r>
    </w:p>
    <w:p>
      <w:pPr>
        <w:ind w:firstLine="642"/>
        <w:rPr>
          <w:rFonts w:hint="eastAsia" w:ascii="华文楷体" w:hAnsi="华文楷体" w:eastAsia="华文楷体" w:cs="华文楷体"/>
          <w:b/>
          <w:color w:val="0000FF"/>
          <w:sz w:val="32"/>
          <w:szCs w:val="32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应急抢险，投身一线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highlight w:val="none"/>
          <w:lang w:val="en-US" w:eastAsia="zh-CN" w:bidi="ar-SA"/>
        </w:rPr>
        <w:t>（23家）</w:t>
      </w:r>
    </w:p>
    <w:p>
      <w:pPr>
        <w:ind w:firstLine="653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" w:hAnsi="仿宋" w:eastAsia="仿宋"/>
          <w:sz w:val="32"/>
          <w:szCs w:val="32"/>
          <w:highlight w:val="none"/>
        </w:rPr>
        <w:t>疫情暴发以来，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我会</w:t>
      </w:r>
      <w:r>
        <w:rPr>
          <w:rFonts w:hint="eastAsia" w:ascii="仿宋" w:hAnsi="仿宋" w:eastAsia="仿宋"/>
          <w:sz w:val="32"/>
          <w:szCs w:val="32"/>
          <w:highlight w:val="none"/>
        </w:rPr>
        <w:t>会员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/>
          <w:sz w:val="32"/>
          <w:szCs w:val="32"/>
          <w:highlight w:val="none"/>
        </w:rPr>
        <w:t>主动投身抗疫一线，举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/>
          <w:sz w:val="32"/>
          <w:szCs w:val="32"/>
          <w:highlight w:val="none"/>
        </w:rPr>
        <w:t>之力承担起新冠肺炎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疫情</w:t>
      </w:r>
      <w:r>
        <w:rPr>
          <w:rFonts w:hint="eastAsia" w:ascii="仿宋" w:hAnsi="仿宋" w:eastAsia="仿宋"/>
          <w:sz w:val="32"/>
          <w:szCs w:val="32"/>
          <w:highlight w:val="none"/>
        </w:rPr>
        <w:t>应急医疗及保障工程项目的监理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仿宋" w:hAnsi="仿宋" w:eastAsia="仿宋"/>
          <w:sz w:val="32"/>
          <w:szCs w:val="32"/>
          <w:highlight w:val="none"/>
        </w:rPr>
        <w:t>，用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专业、智慧书写了行业的初心和使命，以</w:t>
      </w:r>
      <w:r>
        <w:rPr>
          <w:rFonts w:hint="eastAsia" w:ascii="仿宋" w:hAnsi="仿宋" w:eastAsia="仿宋"/>
          <w:sz w:val="32"/>
          <w:szCs w:val="32"/>
          <w:highlight w:val="none"/>
        </w:rPr>
        <w:t>“逆行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/>
          <w:sz w:val="32"/>
          <w:szCs w:val="32"/>
          <w:highlight w:val="none"/>
        </w:rPr>
        <w:t>”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的姿态诠释</w:t>
      </w:r>
      <w:r>
        <w:rPr>
          <w:rFonts w:hint="eastAsia" w:ascii="仿宋" w:hAnsi="仿宋" w:eastAsia="仿宋"/>
          <w:sz w:val="32"/>
          <w:szCs w:val="32"/>
          <w:highlight w:val="none"/>
        </w:rPr>
        <w:t>了行业的责任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  <w:highlight w:val="none"/>
        </w:rPr>
        <w:t>担当。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武汉华胜工程建设科技有限公司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武汉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神山医院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湖北省第三人民医院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武汉鸿诚工程咨询管理有限责任公司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参建武汉雷神山医院及汉汽方舱医院等4项工程；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中冶南方武汉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咨询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管理有限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洲技校医学观察点、阳逻方舱医院等6项工程；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4、武汉宏宇建设工程咨询有限公司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国家网安基地方舱医院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湖北省洪山监狱隔离关押点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等4项工程；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武汉工程建设监理咨询有限公司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承担武汉市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东湖新技术开发区道路的维护、维修监理工作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武汉方正工程建设项目管理有限公司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参建黄冈小汤山医院、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潜江市妇幼保健院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日海方舱医院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3项工程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7、武汉飞虹工程管理咨询有限公司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参建汉口北、长江新城方舱医院等7项防疫工程；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武汉平安建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设工程项目管理有限公司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湖北省委党校新校区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当阳市应急救治改造项目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武汉安宇工程建设管理有限公司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白马方舱医院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北京东方华太建设监理有限公司湖北分公司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武穴市妇幼保健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院新院区、东湖风景区白马方舱医院等4个项目，承担了东西湖新城十三路方舱医院全过程跟踪审计工作；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11、武汉南亚建设监理有限公司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参建阳逻方舱医院；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武汉永泰建设工程监理有限公司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普安山方舱医院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湖北百顺工程监理咨询有限公司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参建汉口北方舱医院、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广水市新冠病毒性肺炎应急医院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等3个项目；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14、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广州穗科建设管理有限公司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湖北分公司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北省妇幼保健院光谷分院改造项目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15、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中咨管理湖北分公司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湖北省委党校方舱医院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16、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湖北冠达通信科技网络咨询有限公司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参与了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武汉雷神山医院、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协和西院定点医院、泰康同济医院方舱医院等多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方舱医院及隔离点的场馆配套光缆工程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监理工作；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17、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武汉市政工程设计研究院有限责任公司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青山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楠姆方舱医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院项目；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18、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武汉七星工程建设监理有限责任公司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武汉医废应急处理中心项目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19、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湖北中南工程建设监理有限公司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参建黄冈市方舱医院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黄冈市精神病医院改造项目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武汉土木工程建设监理有限公司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新华产业园方舱医院、武汉印染厂隔离点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21、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湖北建丰工程监理有限公司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参建日海方舱医院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22、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湖北东晟工程监理有限责任公司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武汉市九医院东院区医学观察点医疗污水处理应急工程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23、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湖北三峡建设项目管理股份有限公司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宜昌市三医院病区改造项目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rPr>
          <w:rFonts w:hint="eastAsia" w:ascii="华文仿宋" w:hAnsi="华文仿宋" w:eastAsia="华文仿宋" w:cs="华文仿宋"/>
          <w:b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sz w:val="32"/>
          <w:szCs w:val="32"/>
          <w:highlight w:val="none"/>
        </w:rPr>
        <w:t>捐款捐物，爱心汇聚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面对疫情，武汉监理咨询行业人积极行动。连日来，</w:t>
      </w:r>
      <w:r>
        <w:rPr>
          <w:rFonts w:hint="eastAsia" w:ascii="仿宋" w:hAnsi="仿宋" w:eastAsia="仿宋"/>
          <w:sz w:val="32"/>
          <w:szCs w:val="32"/>
          <w:highlight w:val="none"/>
        </w:rPr>
        <w:t>在协会的倡议下，我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</w:rPr>
        <w:t>众多监理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/>
          <w:sz w:val="32"/>
          <w:szCs w:val="32"/>
          <w:highlight w:val="none"/>
        </w:rPr>
        <w:t>积极响应，主动履行社会责任，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纷纷</w:t>
      </w:r>
      <w:r>
        <w:rPr>
          <w:rFonts w:hint="eastAsia" w:ascii="仿宋" w:hAnsi="仿宋" w:eastAsia="仿宋"/>
          <w:sz w:val="32"/>
          <w:szCs w:val="32"/>
          <w:highlight w:val="none"/>
        </w:rPr>
        <w:t>通过物资捐赠、资金援助等形式积极奉献爱心，助力抗疫。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截至目前，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武汉建设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监理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咨询行业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协会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家会员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和个人向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武汉市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有关慈善组织、医疗机构、地方政府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社区街道等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捐款共计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人民币1,7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35.36元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并捐助2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00只医用口罩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一级防护服500套，二级防护服500套，护目镜150个，医用检查手套2950双，外科手套400双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、150桶共3吨消毒液、123台防控风机、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万多枚鸡蛋、2万斤蔬菜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等物资共计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0,700元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捐献情况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如下（排名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以捐赠时间为序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）：</w:t>
      </w:r>
    </w:p>
    <w:tbl>
      <w:tblPr>
        <w:tblStyle w:val="3"/>
        <w:tblpPr w:leftFromText="180" w:rightFromText="180" w:vertAnchor="text" w:horzAnchor="page" w:tblpX="598" w:tblpY="821"/>
        <w:tblOverlap w:val="never"/>
        <w:tblW w:w="113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38"/>
        <w:gridCol w:w="4728"/>
        <w:gridCol w:w="1632"/>
        <w:gridCol w:w="2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2020年1月27日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武汉市青山建设工程监理有限责任公司及员工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￥39,999.00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2020年1月28日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武汉盛强工程咨询有限公司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2020年1月28日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武汉众江源工程管理有限公司及员工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￥30,350.00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2020年1月29日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湖北亚太建设监理有限责任公司及员工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一级防护服500套，二级防护服500套，护目镜150个，医用检查手套2950双，外科手套400双等物资共计60700元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2020年1月29日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湖北全一建设咨询有限公司及员工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￥121,111.00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2020年1月31日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武汉宏宇建设工程咨询有限公司及员工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￥181,201.00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湖北三峡建设项目管理股份有限公司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2020年2月8日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湖北楚元工程建设咨询有限公司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2020年2月8日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上海市工程设备监理有限公司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10000只医用口罩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2020年2月10日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武汉建设监理与咨询行业协会及秘书处职工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￥14,500.00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2020年2月10日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傅晓明 深圳市建设监理协会副会长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￥6,666.66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2020年2月11日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华德莱集团—武汉江城建设咨询有限公司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￥20,000.00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2020年2月11日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湖北天慧工程咨询有限公司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￥20,000.00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2020年2月12日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广东世纪信通网络科技有限公司及员工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￥30,400.00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2020年2月13日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湖北环鹏建设管理有限公司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沈阳市市政公用工程监理有限公司及员工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￥9,900.00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宜昌宏业工程项目管理有限公司及员工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￥170,000.00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中德华建(北京)国际工程技术有限公司及员工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￥131,336.00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2万斤蔬菜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湖北南方建设管理咨询有限公司及员工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150桶共3吨消毒液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上海容基工程项目管理有限公司及员工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￥16,400.00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武汉市江河工程监理咨询有限公司及员工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￥21,750.00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2020年2月14日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武汉方正工程建设项目管理有限公司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￥96,580.00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123台防控风机、水电材料和1万多枚鸡蛋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2020年2月15日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武汉华胜工程建设科技有限公司员工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￥76,786.66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2020年2月17日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湖北天成建设工程项目管理有限公司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￥40,000.00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2020年2月20日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湖北广域建设管理有限公司及员工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￥51,917.16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2020年2月20日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厦门港湾咨询监理有限公司及武汉分公司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2020年2月21日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武汉东风工程建设监理有限公司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￥64,599.88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2020年2月22日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武汉星宇建设工程监理有限公司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￥60,000.00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2020年2月23日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湖北九州建设项目咨询管理有限公司及员工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2020年2月27日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湖北建设监理有限公司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￥34,400.00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10500只医用口罩（价值人民币29280元）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2020年3月3日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武汉鸿诚工程咨询管理有限责任公司及员工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￥63,621.00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2020年3月5日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武汉永鸿建设工程监理有限公司及员工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￥14,800.00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2020年3月6日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武汉中建工程管理有限公司及员工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￥120,478.00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2020年3月6日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重庆兴宇工程建设监理有限公司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￥13,000.00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2020年3月18日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北京东方华太建设监理有限公司湖北分公司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￥91,039.00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2020年3月31日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江苏大洲工程项目管理有限公司华中分公司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￥18,900.00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下沉社区，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志愿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援助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13家，与“投身一线”重复3家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eastAsia="zh-CN"/>
        </w:rPr>
        <w:t>）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1、武汉鸿诚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工程咨询管理有限责任公司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党员干部积极下沉社区开展帮扶，为汉口金桥汇社区、美联社区等5个对口社区2万余人提供帮扶服务；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武汉飞虹建设监理有限公司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帮扶支援汉阳区鼓楼社区、显正社区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5个定点社区防疫工作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武汉永泰建设工程监理有限公司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下沉江夏区关山桥小区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疫情防控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并积极承担江夏区1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1个老旧社区路口封控值守工作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武汉宏基建设工程监理有限公司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党员干部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第一时间响应号召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下沉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村组社区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开展志愿者服务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武汉市青山建设工程监理有限责任公司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愿者主动请缨武汉防疫青年志愿者团队，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并在社区开展联防联控和提供各类志愿者服务；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湖北建设监理公司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百步亭等多个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社区志愿者服务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武汉市三楚建设监理有限责任公司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分赴隔离区援助值守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并对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硚口区古田街道下辖的万人、生活村、罗家墩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等多个社区开展帮扶服务；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湖北南方建设管理咨询有限公司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员工积极参与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汉川市分水镇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等多地区志愿者服务工作；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湖北华隆工程建设监理有限公司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中建院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社区志愿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服务工作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武汉东风工程建设监理有限公司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志愿者积极参与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湖北省武汉市、襄阳宜城市、十堰市，甘肃省兰州市等多地的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防疫服务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湖北全一建设咨询有限公司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在董事长的召集下，成立了七人志愿者团队，主动到居住地所在社区报名，积极开展志愿者服务；</w:t>
      </w:r>
    </w:p>
    <w:p>
      <w:pPr>
        <w:ind w:firstLine="653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宜昌宏业工程项目管理有限公司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青年志愿者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积极投身所在社区抗疫服务；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13、湖北九州建设项目咨询管理有限责任公司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志愿者积极参与社区志愿者服务。</w:t>
      </w:r>
    </w:p>
    <w:p>
      <w:pPr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2273"/>
    <w:rsid w:val="0DF356A3"/>
    <w:rsid w:val="0E183457"/>
    <w:rsid w:val="1641097E"/>
    <w:rsid w:val="1AC655CA"/>
    <w:rsid w:val="1AF41683"/>
    <w:rsid w:val="1B575A41"/>
    <w:rsid w:val="1F9758C1"/>
    <w:rsid w:val="209A1DEB"/>
    <w:rsid w:val="24932806"/>
    <w:rsid w:val="316058DC"/>
    <w:rsid w:val="3FA867C5"/>
    <w:rsid w:val="42145A1B"/>
    <w:rsid w:val="434C6C42"/>
    <w:rsid w:val="44B96CCC"/>
    <w:rsid w:val="44F96232"/>
    <w:rsid w:val="4C49732E"/>
    <w:rsid w:val="4D1C5010"/>
    <w:rsid w:val="50D92777"/>
    <w:rsid w:val="50FE7204"/>
    <w:rsid w:val="59002273"/>
    <w:rsid w:val="5A2E0FA7"/>
    <w:rsid w:val="5A707521"/>
    <w:rsid w:val="5E0E5AF9"/>
    <w:rsid w:val="6C1C66EF"/>
    <w:rsid w:val="74C60107"/>
    <w:rsid w:val="7A5406CD"/>
    <w:rsid w:val="7AB330A2"/>
    <w:rsid w:val="7F3363BB"/>
    <w:rsid w:val="7F3A5E45"/>
    <w:rsid w:val="7FA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2020-03-28T14:02:00Z</dcterms:created>
  <dc:creator>凌云</dc:creator>
  <cp:lastModifiedBy>Lenovo</cp:lastModifiedBy>
  <dcterms:modified xsi:type="dcterms:W3CDTF">2020-03-31T05:46:09Z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