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  <w:t>关于</w:t>
      </w: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武汉建设监理与咨询行业协会</w:t>
      </w:r>
    </w:p>
    <w:p>
      <w:pPr>
        <w:pStyle w:val="5"/>
        <w:ind w:left="0" w:leftChars="0" w:firstLine="0" w:firstLineChars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信息管理系统</w:t>
      </w:r>
      <w:r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  <w:t>升级的相关说明</w:t>
      </w:r>
    </w:p>
    <w:p>
      <w:pPr>
        <w:pStyle w:val="5"/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eastAsia="zh-CN"/>
        </w:rPr>
        <w:t>各会员单位：</w:t>
      </w: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  <w:t>为进一步提升各企业或人员在我会信息管理系统软件（协会OA）使用的便捷性，方便各企业或个人及时做好日常备检需求，经协会研究决定，特针对“培训电子证书”、“人员离职管理”、“证书变更管理”等模块进行升级，现将《武</w:t>
      </w:r>
      <w:bookmarkStart w:id="11" w:name="_GoBack"/>
      <w:bookmarkEnd w:id="11"/>
      <w:r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  <w:t>汉建设监理与咨询行业协会信息管理系统升级功能操作指引》发布如下，请各申报单位或个人仔细阅读，若有疑问可咨询培训咨询部杨工，联系电话：027-88109963-0或027-88109963-8002。</w:t>
      </w: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4396" w:firstLineChars="1564"/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  <w:t>武汉建设监理与咨询行业协会</w:t>
      </w:r>
    </w:p>
    <w:p>
      <w:pPr>
        <w:pStyle w:val="5"/>
        <w:ind w:left="0" w:leftChars="0" w:firstLine="4675" w:firstLineChars="1663"/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  <w:t>二〇一九年十二月十六日</w:t>
      </w: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firstLine="0"/>
        <w:jc w:val="both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5"/>
        <w:ind w:firstLine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5"/>
        <w:ind w:firstLine="0"/>
        <w:jc w:val="center"/>
        <w:rPr>
          <w:rFonts w:ascii="Times New Roman" w:hAnsi="Times New Roman"/>
          <w:b/>
          <w:w w:val="100"/>
          <w:kern w:val="2"/>
          <w:sz w:val="40"/>
          <w:szCs w:val="40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武汉建设监理与咨询行业协会信息管理系统</w:t>
      </w:r>
    </w:p>
    <w:p>
      <w:pPr>
        <w:pStyle w:val="5"/>
        <w:ind w:firstLine="1341" w:firstLineChars="334"/>
        <w:rPr>
          <w:rFonts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5"/>
        <w:ind w:firstLine="2409" w:firstLineChars="600"/>
        <w:rPr>
          <w:rFonts w:ascii="Times New Roman" w:hAnsi="Times New Roman"/>
          <w:b/>
          <w:w w:val="100"/>
          <w:kern w:val="2"/>
          <w:sz w:val="40"/>
          <w:szCs w:val="40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升级功能操作指引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sdt>
      <w:sdtPr>
        <w:rPr>
          <w:rFonts w:ascii="宋体" w:hAnsi="宋体" w:eastAsia="宋体"/>
        </w:rPr>
        <w:id w:val="14747606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7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"_Toc19194854"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</w:rPr>
            <w:t>人员信息管理</w:t>
          </w:r>
          <w:r>
            <w:tab/>
          </w:r>
          <w:r>
            <w:fldChar w:fldCharType="begin"/>
          </w:r>
          <w:r>
            <w:instrText xml:space="preserve"> PAGEREF _Toc19194854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"_Toc19194855"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szCs w:val="22"/>
            </w:rPr>
            <w:tab/>
          </w:r>
          <w:r>
            <w:rPr>
              <w:rStyle w:val="11"/>
            </w:rPr>
            <w:t>企业人员信息管理</w:t>
          </w:r>
          <w:r>
            <w:tab/>
          </w:r>
          <w:r>
            <w:fldChar w:fldCharType="begin"/>
          </w:r>
          <w:r>
            <w:instrText xml:space="preserve"> PAGEREF _Toc19194855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"_Toc19194856" </w:instrText>
          </w:r>
          <w:r>
            <w:fldChar w:fldCharType="separate"/>
          </w:r>
          <w:r>
            <w:rPr>
              <w:rStyle w:val="11"/>
            </w:rPr>
            <w:t>1.1.1增加离职解聘处理功能</w:t>
          </w:r>
          <w:r>
            <w:tab/>
          </w:r>
          <w:r>
            <w:fldChar w:fldCharType="begin"/>
          </w:r>
          <w:r>
            <w:instrText xml:space="preserve"> PAGEREF _Toc19194856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"_Toc19194857"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</w:rPr>
            <w:t>教育培训管理</w:t>
          </w:r>
          <w:r>
            <w:tab/>
          </w:r>
          <w:r>
            <w:fldChar w:fldCharType="begin"/>
          </w:r>
          <w:r>
            <w:instrText xml:space="preserve"> PAGEREF _Toc19194857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"_Toc19194858" </w:instrText>
          </w:r>
          <w:r>
            <w:fldChar w:fldCharType="separate"/>
          </w:r>
          <w:r>
            <w:rPr>
              <w:rStyle w:val="11"/>
            </w:rPr>
            <w:t>2.1</w:t>
          </w:r>
          <w:r>
            <w:rPr>
              <w:szCs w:val="22"/>
            </w:rPr>
            <w:tab/>
          </w:r>
          <w:r>
            <w:rPr>
              <w:rStyle w:val="11"/>
            </w:rPr>
            <w:t>教育培训管理</w:t>
          </w:r>
          <w:r>
            <w:tab/>
          </w:r>
          <w:r>
            <w:fldChar w:fldCharType="begin"/>
          </w:r>
          <w:r>
            <w:instrText xml:space="preserve"> PAGEREF _Toc19194858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"_Toc19194859" </w:instrText>
          </w:r>
          <w:r>
            <w:fldChar w:fldCharType="separate"/>
          </w:r>
          <w:r>
            <w:rPr>
              <w:rStyle w:val="11"/>
            </w:rPr>
            <w:t>2.1.1 增加电子证书下载功能</w:t>
          </w:r>
          <w:r>
            <w:tab/>
          </w:r>
          <w:r>
            <w:fldChar w:fldCharType="begin"/>
          </w:r>
          <w:r>
            <w:instrText xml:space="preserve"> PAGEREF _Toc19194859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"_Toc19194860" </w:instrText>
          </w:r>
          <w:r>
            <w:fldChar w:fldCharType="separate"/>
          </w:r>
          <w:r>
            <w:rPr>
              <w:rStyle w:val="11"/>
            </w:rPr>
            <w:t>2.2.2 增加证书变更流程</w:t>
          </w:r>
          <w:r>
            <w:tab/>
          </w:r>
          <w:r>
            <w:fldChar w:fldCharType="begin"/>
          </w:r>
          <w:r>
            <w:instrText xml:space="preserve"> PAGEREF _Toc19194860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"_Toc19194861" </w:instrText>
          </w:r>
          <w:r>
            <w:fldChar w:fldCharType="separate"/>
          </w:r>
          <w:r>
            <w:rPr>
              <w:rStyle w:val="11"/>
            </w:rPr>
            <w:t>3</w:t>
          </w:r>
          <w:r>
            <w:rPr>
              <w:szCs w:val="22"/>
            </w:rPr>
            <w:tab/>
          </w:r>
          <w:r>
            <w:rPr>
              <w:rStyle w:val="11"/>
            </w:rPr>
            <w:t>培训成绩查询</w:t>
          </w:r>
          <w:r>
            <w:tab/>
          </w:r>
          <w:r>
            <w:fldChar w:fldCharType="begin"/>
          </w:r>
          <w:r>
            <w:instrText xml:space="preserve"> PAGEREF _Toc19194861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5"/>
        <w:ind w:firstLine="0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2"/>
        <w:spacing w:before="156" w:after="156"/>
      </w:pPr>
      <w:bookmarkStart w:id="0" w:name="_Toc19194854"/>
      <w:r>
        <w:rPr>
          <w:rFonts w:hint="eastAsia"/>
        </w:rPr>
        <w:t>人员信息管理</w:t>
      </w:r>
      <w:bookmarkEnd w:id="0"/>
    </w:p>
    <w:p>
      <w:pPr>
        <w:pStyle w:val="3"/>
      </w:pPr>
      <w:bookmarkStart w:id="1" w:name="_Toc19194855"/>
      <w:r>
        <w:rPr>
          <w:rFonts w:hint="eastAsia"/>
        </w:rPr>
        <w:t>企业人员信息管理</w:t>
      </w:r>
      <w:bookmarkEnd w:id="1"/>
    </w:p>
    <w:p>
      <w:pPr>
        <w:pStyle w:val="4"/>
      </w:pPr>
      <w:bookmarkStart w:id="2" w:name="_Toc25564"/>
      <w:bookmarkStart w:id="3" w:name="_Toc19194856"/>
      <w:r>
        <w:t>1</w:t>
      </w:r>
      <w:r>
        <w:rPr>
          <w:rFonts w:hint="eastAsia"/>
        </w:rPr>
        <w:t>.1.1</w:t>
      </w:r>
      <w:bookmarkEnd w:id="2"/>
      <w:r>
        <w:rPr>
          <w:rFonts w:hint="eastAsia"/>
        </w:rPr>
        <w:t>增加离职解聘处理功能</w:t>
      </w:r>
      <w:bookmarkEnd w:id="3"/>
    </w:p>
    <w:p>
      <w:r>
        <w:rPr>
          <w:rFonts w:hint="eastAsia"/>
        </w:rPr>
        <w:t>增加离职处理功能，用于对单位离职人员做离职处理，由原单位信息管理员负责离职处理。</w:t>
      </w:r>
    </w:p>
    <w:p>
      <w:r>
        <w:rPr>
          <w:rFonts w:hint="eastAsia"/>
        </w:rPr>
        <w:t>操作说明：</w:t>
      </w:r>
      <w:r>
        <w:rPr>
          <w:rFonts w:hint="eastAsia" w:ascii="宋体" w:hAnsi="宋体"/>
          <w:szCs w:val="21"/>
        </w:rPr>
        <w:t>勾选一条记录，在列表中点击【离职处理】按钮，弹出界面输入</w:t>
      </w:r>
      <w:r>
        <w:rPr>
          <w:rFonts w:hint="eastAsia"/>
        </w:rPr>
        <w:t>评价得分、评价说明，保存后该人员所属企业从原单位释放，如下图所示：</w:t>
      </w:r>
    </w:p>
    <w:p>
      <w:r>
        <w:drawing>
          <wp:inline distT="0" distB="0" distL="114300" distR="114300">
            <wp:extent cx="5262880" cy="2849880"/>
            <wp:effectExtent l="0" t="0" r="1397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bookmarkStart w:id="4" w:name="_Toc19194857"/>
      <w:r>
        <w:rPr>
          <w:rFonts w:hint="eastAsia"/>
        </w:rPr>
        <w:t>教育培训管理</w:t>
      </w:r>
      <w:bookmarkEnd w:id="4"/>
    </w:p>
    <w:p>
      <w:pPr>
        <w:pStyle w:val="3"/>
      </w:pPr>
      <w:bookmarkStart w:id="5" w:name="_Toc19194858"/>
      <w:r>
        <w:rPr>
          <w:rFonts w:hint="eastAsia"/>
        </w:rPr>
        <w:t>教育培训管理</w:t>
      </w:r>
      <w:bookmarkEnd w:id="5"/>
    </w:p>
    <w:p>
      <w:pPr>
        <w:pStyle w:val="4"/>
      </w:pPr>
      <w:bookmarkStart w:id="6" w:name="_Toc20823"/>
      <w:bookmarkStart w:id="7" w:name="_Toc19194859"/>
      <w:r>
        <w:t>2</w:t>
      </w:r>
      <w:r>
        <w:rPr>
          <w:rFonts w:hint="eastAsia"/>
        </w:rPr>
        <w:t xml:space="preserve">.1.1 </w:t>
      </w:r>
      <w:bookmarkEnd w:id="6"/>
      <w:r>
        <w:rPr>
          <w:rFonts w:hint="eastAsia"/>
        </w:rPr>
        <w:t>增加电子证书下载功能</w:t>
      </w:r>
      <w:bookmarkEnd w:id="7"/>
    </w:p>
    <w:p>
      <w:pPr>
        <w:spacing w:line="360" w:lineRule="auto"/>
      </w:pPr>
      <w:r>
        <w:rPr>
          <w:rFonts w:hint="eastAsia"/>
        </w:rPr>
        <w:t>各会员单位可查询自己单位的培训证书，并可生成电子证书后支持批量下载到本地。</w:t>
      </w:r>
    </w:p>
    <w:p>
      <w:r>
        <w:rPr>
          <w:rFonts w:hint="eastAsia"/>
        </w:rPr>
        <w:t>操作说明：</w:t>
      </w:r>
      <w:r>
        <w:rPr>
          <w:rFonts w:hint="eastAsia" w:ascii="宋体" w:hAnsi="宋体"/>
          <w:szCs w:val="21"/>
        </w:rPr>
        <w:t>勾选单个或多个人员数据，在列表中点击【生成电子证书】按钮，即可弹出电子证书下载界面</w:t>
      </w:r>
      <w:r>
        <w:t xml:space="preserve"> </w:t>
      </w:r>
      <w:r>
        <w:rPr>
          <w:rFonts w:hint="eastAsia"/>
        </w:rPr>
        <w:t>，点击下载即可对证书进行下载到本地，如下图所示：</w:t>
      </w:r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注意：只有协会导入了培训结果（包括导入了通过结果，合格证书等信息的）的人员才可以生成电子证书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highlight w:val="yellow"/>
        </w:rPr>
        <w:t>注意建议每次最多勾选5个人员生成电子证书，选择太多人员导致加载速度很慢等问题。</w:t>
      </w:r>
    </w:p>
    <w:p>
      <w:r>
        <w:drawing>
          <wp:inline distT="0" distB="0" distL="114300" distR="114300">
            <wp:extent cx="5269865" cy="2860675"/>
            <wp:effectExtent l="0" t="0" r="698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15240</wp:posOffset>
            </wp:positionV>
            <wp:extent cx="2529205" cy="2726055"/>
            <wp:effectExtent l="0" t="0" r="4445" b="1714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635</wp:posOffset>
            </wp:positionV>
            <wp:extent cx="2573655" cy="2750185"/>
            <wp:effectExtent l="0" t="0" r="17145" b="1206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hint="eastAsia" w:ascii="宋体" w:hAnsi="宋体" w:eastAsiaTheme="minorEastAsia"/>
          <w:szCs w:val="21"/>
          <w:lang w:eastAsia="zh-CN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pStyle w:val="4"/>
      </w:pPr>
      <w:bookmarkStart w:id="8" w:name="_Toc22409"/>
      <w:bookmarkStart w:id="9" w:name="_Toc19194860"/>
      <w:r>
        <w:t>2</w:t>
      </w:r>
      <w:r>
        <w:rPr>
          <w:rFonts w:hint="eastAsia"/>
        </w:rPr>
        <w:t>.2.</w:t>
      </w:r>
      <w:r>
        <w:t>2</w:t>
      </w:r>
      <w:r>
        <w:rPr>
          <w:rFonts w:hint="eastAsia"/>
        </w:rPr>
        <w:t xml:space="preserve"> </w:t>
      </w:r>
      <w:bookmarkEnd w:id="8"/>
      <w:r>
        <w:rPr>
          <w:rFonts w:hint="eastAsia"/>
        </w:rPr>
        <w:t>增加证书变更流程</w:t>
      </w:r>
      <w:bookmarkEnd w:id="9"/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用于人员所属单位变更后，由新单位发起该人员证书变更审批流程，经协会培训部审核通过后，该人员及证书所属单位自动更改为新单位。</w:t>
      </w:r>
    </w:p>
    <w:p>
      <w:pPr>
        <w:spacing w:line="36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操作说明：在列表中点击【启动】按钮，弹出证书变更填写界面，对弹出界面信息进行填写，填写完成后点击提交按钮，即可对证书变更进行审批，培训部审核通过后，即生效。</w:t>
      </w:r>
      <w:r>
        <w:rPr>
          <w:rFonts w:hint="eastAsia" w:ascii="宋体" w:hAnsi="宋体"/>
          <w:color w:val="FF0000"/>
          <w:szCs w:val="21"/>
          <w:highlight w:val="yellow"/>
        </w:rPr>
        <w:t>注意添加人员时需要同时输入姓名和身份证号才能正确查询人员。如下图所示：在人员选择框中勾选人员点【确定选择】，然后选择新入职单位、新入职时间，上传原单位解聘合同以及新单位劳动合同扫描版后，点【提交】到协会培训部审核，待培训部审核通过后，该人员及对应证书的所属企业自动更改为新入职企业。</w:t>
      </w:r>
    </w:p>
    <w:p>
      <w:pPr>
        <w:spacing w:line="360" w:lineRule="auto"/>
        <w:rPr>
          <w:rFonts w:ascii="宋体" w:hAnsi="宋体"/>
          <w:szCs w:val="21"/>
        </w:rPr>
      </w:pPr>
      <w:r>
        <w:drawing>
          <wp:inline distT="0" distB="0" distL="114300" distR="114300">
            <wp:extent cx="5265420" cy="2804160"/>
            <wp:effectExtent l="0" t="0" r="1143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drawing>
          <wp:inline distT="0" distB="0" distL="114300" distR="114300">
            <wp:extent cx="5269865" cy="3007995"/>
            <wp:effectExtent l="0" t="0" r="698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bookmarkStart w:id="10" w:name="_Toc19194861"/>
      <w:r>
        <w:rPr>
          <w:rFonts w:hint="eastAsia"/>
        </w:rPr>
        <w:t>培训成绩查询</w:t>
      </w:r>
      <w:bookmarkEnd w:id="10"/>
    </w:p>
    <w:p>
      <w:r>
        <w:rPr>
          <w:rFonts w:hint="eastAsia"/>
        </w:rPr>
        <w:t>可以通过单位和个人对成绩进行查询</w:t>
      </w:r>
    </w:p>
    <w:p>
      <w:r>
        <w:rPr>
          <w:rFonts w:hint="eastAsia"/>
        </w:rPr>
        <w:t>操作说明：</w:t>
      </w:r>
    </w:p>
    <w:p>
      <w:r>
        <w:rPr>
          <w:rFonts w:hint="eastAsia"/>
        </w:rPr>
        <w:t>单位成绩查询：在登录首页界面输入单位名称及该单位登录系统的密码，点击【查询】按钮，即查询出该企业所有证书查询信息。如下图所示：</w:t>
      </w:r>
    </w:p>
    <w:p>
      <w:r>
        <w:drawing>
          <wp:inline distT="0" distB="0" distL="0" distR="0">
            <wp:extent cx="5274310" cy="183642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80640"/>
            <wp:effectExtent l="0" t="0" r="2540" b="1016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个人成绩查询：也可以通过输单个的证书编号，点击【查询】按钮，对个人证书成绩查询。如下所示：</w:t>
      </w:r>
    </w:p>
    <w:p>
      <w:r>
        <w:drawing>
          <wp:inline distT="0" distB="0" distL="0" distR="0">
            <wp:extent cx="5274310" cy="1744980"/>
            <wp:effectExtent l="0" t="0" r="2540" b="762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80640"/>
            <wp:effectExtent l="0" t="0" r="2540" b="1016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2409" w:firstLineChars="600"/>
        <w:rPr>
          <w:rFonts w:ascii="Times New Roman" w:hAnsi="Times New Roman"/>
          <w:b/>
          <w:w w:val="100"/>
          <w:kern w:val="2"/>
          <w:sz w:val="40"/>
          <w:szCs w:val="4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201E"/>
    <w:multiLevelType w:val="multilevel"/>
    <w:tmpl w:val="09A8201E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854"/>
        </w:tabs>
        <w:ind w:left="1854" w:hanging="720"/>
      </w:pPr>
      <w:rPr>
        <w:rFonts w:hint="eastAsia"/>
        <w:color w:val="auto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color w:val="auto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F2E73"/>
    <w:rsid w:val="01BB0DA4"/>
    <w:rsid w:val="02E601DD"/>
    <w:rsid w:val="06E65406"/>
    <w:rsid w:val="0E6A506C"/>
    <w:rsid w:val="179B03CF"/>
    <w:rsid w:val="199F0F93"/>
    <w:rsid w:val="1ED5333B"/>
    <w:rsid w:val="272406D3"/>
    <w:rsid w:val="28894158"/>
    <w:rsid w:val="2C7A55E1"/>
    <w:rsid w:val="333F7338"/>
    <w:rsid w:val="3BAE5AD5"/>
    <w:rsid w:val="4541083E"/>
    <w:rsid w:val="466C19BE"/>
    <w:rsid w:val="4C91422D"/>
    <w:rsid w:val="54137B1E"/>
    <w:rsid w:val="56924509"/>
    <w:rsid w:val="583E6BC0"/>
    <w:rsid w:val="5AF911DC"/>
    <w:rsid w:val="681F2CA2"/>
    <w:rsid w:val="74A9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Lines="50" w:afterLines="50"/>
      <w:jc w:val="left"/>
      <w:outlineLvl w:val="0"/>
    </w:pPr>
    <w:rPr>
      <w:rFonts w:ascii="Calibri" w:hAnsi="Calibri"/>
      <w:b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ind w:firstLine="492"/>
    </w:pPr>
    <w:rPr>
      <w:rFonts w:ascii="宋体" w:hAnsi="Arial"/>
      <w:w w:val="90"/>
      <w:kern w:val="32"/>
      <w:sz w:val="28"/>
      <w:szCs w:val="20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2019-12-11T07:00:00Z</dcterms:created>
  <dc:creator>Administrator</dc:creator>
  <cp:lastModifiedBy>山水梅子1387334592</cp:lastModifiedBy>
  <dcterms:modified xsi:type="dcterms:W3CDTF">2019-12-16T06:40:53Z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